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04F" w:rsidRPr="0053784C" w:rsidRDefault="00BD704F" w:rsidP="0053784C">
      <w:pPr>
        <w:spacing w:line="276" w:lineRule="auto"/>
        <w:jc w:val="both"/>
      </w:pPr>
      <w:r>
        <w:rPr>
          <w:b/>
          <w:sz w:val="16"/>
          <w:szCs w:val="16"/>
        </w:rPr>
        <w:t>Na  osnovu  člana  230. Zakona o privrednim društvima (Službene novine F BiH“ broj: 81/15)  i  svoje  odluke o sazivanju  19.  Skupštine   dioničara  Trgovina  „Borac“  d.d.  Travnik  broj :</w:t>
      </w:r>
      <w:r>
        <w:t xml:space="preserve"> </w:t>
      </w:r>
      <w:r>
        <w:rPr>
          <w:b/>
          <w:sz w:val="16"/>
          <w:szCs w:val="16"/>
        </w:rPr>
        <w:t>NO-09/20-3</w:t>
      </w:r>
      <w:r>
        <w:t xml:space="preserve"> </w:t>
      </w:r>
      <w:r>
        <w:rPr>
          <w:b/>
          <w:sz w:val="16"/>
          <w:szCs w:val="16"/>
        </w:rPr>
        <w:t>od  15.04.2019. godine, Nadzorni  odbor Trgovina „Borac“ d.d. Travnik</w:t>
      </w:r>
      <w:r w:rsidR="0053784C">
        <w:t xml:space="preserve"> </w:t>
      </w:r>
      <w:bookmarkStart w:id="0" w:name="_GoBack"/>
      <w:bookmarkEnd w:id="0"/>
      <w:r>
        <w:rPr>
          <w:b/>
          <w:sz w:val="16"/>
          <w:szCs w:val="16"/>
        </w:rPr>
        <w:t>objavljuje</w:t>
      </w:r>
    </w:p>
    <w:p w:rsidR="00BD704F" w:rsidRDefault="00BD704F" w:rsidP="00BD704F">
      <w:pPr>
        <w:jc w:val="both"/>
        <w:rPr>
          <w:b/>
          <w:sz w:val="16"/>
          <w:szCs w:val="16"/>
        </w:rPr>
      </w:pPr>
    </w:p>
    <w:p w:rsidR="00BD704F" w:rsidRDefault="00BD704F" w:rsidP="00BD704F">
      <w:pPr>
        <w:jc w:val="center"/>
        <w:rPr>
          <w:b/>
          <w:sz w:val="16"/>
          <w:szCs w:val="16"/>
        </w:rPr>
      </w:pPr>
      <w:r>
        <w:rPr>
          <w:b/>
          <w:sz w:val="16"/>
          <w:szCs w:val="16"/>
        </w:rPr>
        <w:t xml:space="preserve">O B A V J E Š T E N J E </w:t>
      </w:r>
    </w:p>
    <w:p w:rsidR="00BD704F" w:rsidRDefault="00BD704F" w:rsidP="00BD704F">
      <w:pPr>
        <w:jc w:val="center"/>
        <w:rPr>
          <w:b/>
        </w:rPr>
      </w:pPr>
      <w:r>
        <w:rPr>
          <w:b/>
          <w:sz w:val="16"/>
          <w:szCs w:val="16"/>
        </w:rPr>
        <w:t>o sazivanju 19. Skupštine dioničara Trgovina „Borac“ D.D. Travnik</w:t>
      </w:r>
    </w:p>
    <w:p w:rsidR="00BD704F" w:rsidRDefault="00BD704F" w:rsidP="00BD704F">
      <w:pPr>
        <w:jc w:val="center"/>
        <w:rPr>
          <w:b/>
        </w:rPr>
      </w:pPr>
    </w:p>
    <w:p w:rsidR="00BD704F" w:rsidRDefault="00BD704F" w:rsidP="00BD704F">
      <w:pPr>
        <w:jc w:val="both"/>
        <w:rPr>
          <w:b/>
          <w:sz w:val="16"/>
          <w:szCs w:val="16"/>
          <w:u w:val="single"/>
        </w:rPr>
      </w:pPr>
      <w:r>
        <w:rPr>
          <w:b/>
          <w:sz w:val="16"/>
          <w:szCs w:val="16"/>
        </w:rPr>
        <w:t xml:space="preserve">I-     </w:t>
      </w:r>
      <w:r>
        <w:rPr>
          <w:b/>
          <w:sz w:val="16"/>
          <w:szCs w:val="16"/>
          <w:u w:val="single"/>
        </w:rPr>
        <w:t>Datum, vrijeme i mjesto održavanja  19. Skupštine:</w:t>
      </w:r>
    </w:p>
    <w:p w:rsidR="00BD704F" w:rsidRDefault="00BD704F" w:rsidP="00BD704F">
      <w:pPr>
        <w:jc w:val="both"/>
        <w:rPr>
          <w:b/>
          <w:sz w:val="16"/>
          <w:szCs w:val="16"/>
          <w:u w:val="single"/>
        </w:rPr>
      </w:pPr>
    </w:p>
    <w:p w:rsidR="00BD704F" w:rsidRDefault="00BD704F" w:rsidP="00BD704F">
      <w:pPr>
        <w:ind w:left="315"/>
        <w:jc w:val="both"/>
        <w:rPr>
          <w:b/>
          <w:sz w:val="16"/>
          <w:szCs w:val="16"/>
        </w:rPr>
      </w:pPr>
      <w:r>
        <w:rPr>
          <w:b/>
          <w:sz w:val="16"/>
          <w:szCs w:val="16"/>
        </w:rPr>
        <w:t>Devetnaeasta  Skupština  dioničara  Trgovina  „Borac“  d.d.  Travnik  održat  će  se  18.05.2019.  godine u sjedištu Društva u  Travniku, ul. Tvornička bb,  sa  početkom  u  12,00  sati.</w:t>
      </w:r>
    </w:p>
    <w:p w:rsidR="00BD704F" w:rsidRDefault="00BD704F" w:rsidP="00BD704F">
      <w:pPr>
        <w:jc w:val="both"/>
        <w:rPr>
          <w:b/>
          <w:sz w:val="16"/>
          <w:szCs w:val="16"/>
        </w:rPr>
      </w:pPr>
    </w:p>
    <w:p w:rsidR="00BD704F" w:rsidRDefault="00BD704F" w:rsidP="00BD704F">
      <w:pPr>
        <w:jc w:val="both"/>
        <w:rPr>
          <w:b/>
          <w:sz w:val="16"/>
          <w:szCs w:val="16"/>
          <w:u w:val="single"/>
        </w:rPr>
      </w:pPr>
      <w:r>
        <w:rPr>
          <w:b/>
          <w:sz w:val="16"/>
          <w:szCs w:val="16"/>
        </w:rPr>
        <w:t xml:space="preserve">II-    </w:t>
      </w:r>
      <w:r>
        <w:rPr>
          <w:b/>
          <w:sz w:val="16"/>
          <w:szCs w:val="16"/>
          <w:u w:val="single"/>
        </w:rPr>
        <w:t>Radna tijela 19. Skupštine:</w:t>
      </w:r>
    </w:p>
    <w:p w:rsidR="00BD704F" w:rsidRDefault="00BD704F" w:rsidP="00BD704F">
      <w:pPr>
        <w:jc w:val="both"/>
        <w:rPr>
          <w:b/>
          <w:sz w:val="16"/>
          <w:szCs w:val="16"/>
          <w:u w:val="single"/>
        </w:rPr>
      </w:pPr>
    </w:p>
    <w:p w:rsidR="00BD704F" w:rsidRDefault="00BD704F" w:rsidP="00BD704F">
      <w:pPr>
        <w:jc w:val="both"/>
        <w:rPr>
          <w:b/>
          <w:sz w:val="16"/>
          <w:szCs w:val="16"/>
        </w:rPr>
      </w:pPr>
      <w:r>
        <w:rPr>
          <w:b/>
          <w:sz w:val="16"/>
          <w:szCs w:val="16"/>
        </w:rPr>
        <w:t xml:space="preserve">         Skupštini  će  do  izbora predsjednika  Skupštine  predsjedavati  prisutni dioničar ili punomoćnik dioničara sa najvećim brojem</w:t>
      </w:r>
    </w:p>
    <w:p w:rsidR="00BD704F" w:rsidRDefault="00BD704F" w:rsidP="00BD704F">
      <w:pPr>
        <w:jc w:val="both"/>
        <w:rPr>
          <w:b/>
          <w:sz w:val="16"/>
          <w:szCs w:val="16"/>
        </w:rPr>
      </w:pPr>
      <w:r>
        <w:rPr>
          <w:b/>
          <w:sz w:val="16"/>
          <w:szCs w:val="16"/>
        </w:rPr>
        <w:t xml:space="preserve">         dionica sa pravom glasa.</w:t>
      </w:r>
    </w:p>
    <w:p w:rsidR="00BD704F" w:rsidRDefault="00BD704F" w:rsidP="00BD704F">
      <w:pPr>
        <w:jc w:val="both"/>
        <w:rPr>
          <w:b/>
          <w:sz w:val="16"/>
          <w:szCs w:val="16"/>
        </w:rPr>
      </w:pPr>
    </w:p>
    <w:p w:rsidR="00BD704F" w:rsidRDefault="00BD704F" w:rsidP="00BD704F">
      <w:pPr>
        <w:jc w:val="both"/>
        <w:rPr>
          <w:b/>
          <w:sz w:val="16"/>
          <w:szCs w:val="16"/>
        </w:rPr>
      </w:pPr>
      <w:r>
        <w:rPr>
          <w:b/>
          <w:sz w:val="16"/>
          <w:szCs w:val="16"/>
        </w:rPr>
        <w:t xml:space="preserve">         Utvrđivanje kvoruma i rezultata glasanja vrši Odbor za glasanje u koji su imenovani:</w:t>
      </w:r>
    </w:p>
    <w:p w:rsidR="00BD704F" w:rsidRDefault="00BD704F" w:rsidP="00BD704F">
      <w:pPr>
        <w:numPr>
          <w:ilvl w:val="0"/>
          <w:numId w:val="1"/>
        </w:numPr>
        <w:jc w:val="both"/>
        <w:rPr>
          <w:b/>
          <w:sz w:val="16"/>
          <w:szCs w:val="16"/>
        </w:rPr>
      </w:pPr>
      <w:r>
        <w:rPr>
          <w:b/>
          <w:sz w:val="16"/>
          <w:szCs w:val="16"/>
        </w:rPr>
        <w:t>Sanja Vrebac, predsjednik</w:t>
      </w:r>
    </w:p>
    <w:p w:rsidR="00BD704F" w:rsidRDefault="00BD704F" w:rsidP="00BD704F">
      <w:pPr>
        <w:numPr>
          <w:ilvl w:val="0"/>
          <w:numId w:val="1"/>
        </w:numPr>
        <w:jc w:val="both"/>
        <w:rPr>
          <w:b/>
          <w:sz w:val="16"/>
          <w:szCs w:val="16"/>
        </w:rPr>
      </w:pPr>
      <w:r>
        <w:rPr>
          <w:b/>
          <w:sz w:val="16"/>
          <w:szCs w:val="16"/>
        </w:rPr>
        <w:t>Husein  Mehić,</w:t>
      </w:r>
      <w:r>
        <w:rPr>
          <w:sz w:val="16"/>
          <w:szCs w:val="16"/>
        </w:rPr>
        <w:t xml:space="preserve"> </w:t>
      </w:r>
      <w:r>
        <w:rPr>
          <w:b/>
          <w:sz w:val="16"/>
          <w:szCs w:val="16"/>
        </w:rPr>
        <w:t>član</w:t>
      </w:r>
    </w:p>
    <w:p w:rsidR="00BD704F" w:rsidRDefault="00BD704F" w:rsidP="00BD704F">
      <w:pPr>
        <w:numPr>
          <w:ilvl w:val="0"/>
          <w:numId w:val="1"/>
        </w:numPr>
        <w:jc w:val="both"/>
        <w:rPr>
          <w:b/>
          <w:sz w:val="16"/>
          <w:szCs w:val="16"/>
        </w:rPr>
      </w:pPr>
      <w:r>
        <w:rPr>
          <w:b/>
          <w:sz w:val="16"/>
          <w:szCs w:val="16"/>
        </w:rPr>
        <w:t>Nezir Lupčević,</w:t>
      </w:r>
      <w:r>
        <w:rPr>
          <w:sz w:val="16"/>
          <w:szCs w:val="16"/>
        </w:rPr>
        <w:t xml:space="preserve"> </w:t>
      </w:r>
      <w:r>
        <w:rPr>
          <w:b/>
          <w:sz w:val="16"/>
          <w:szCs w:val="16"/>
        </w:rPr>
        <w:t>član.</w:t>
      </w:r>
    </w:p>
    <w:p w:rsidR="00BD704F" w:rsidRDefault="00BD704F" w:rsidP="00BD704F">
      <w:pPr>
        <w:ind w:left="420"/>
        <w:jc w:val="both"/>
        <w:rPr>
          <w:b/>
          <w:sz w:val="16"/>
          <w:szCs w:val="16"/>
        </w:rPr>
      </w:pPr>
    </w:p>
    <w:p w:rsidR="00BD704F" w:rsidRDefault="00BD704F" w:rsidP="00BD704F">
      <w:pPr>
        <w:jc w:val="both"/>
        <w:rPr>
          <w:b/>
          <w:sz w:val="16"/>
          <w:szCs w:val="16"/>
        </w:rPr>
      </w:pPr>
      <w:r>
        <w:rPr>
          <w:b/>
          <w:sz w:val="16"/>
          <w:szCs w:val="16"/>
        </w:rPr>
        <w:t xml:space="preserve">         Zapisnik Skupštine vodit će Goran Čuturić.</w:t>
      </w:r>
      <w:r>
        <w:rPr>
          <w:b/>
          <w:sz w:val="16"/>
          <w:szCs w:val="16"/>
        </w:rPr>
        <w:tab/>
      </w:r>
      <w:r>
        <w:rPr>
          <w:b/>
          <w:sz w:val="16"/>
          <w:szCs w:val="16"/>
        </w:rPr>
        <w:tab/>
      </w:r>
    </w:p>
    <w:p w:rsidR="00BD704F" w:rsidRDefault="00BD704F" w:rsidP="00BD704F">
      <w:pPr>
        <w:jc w:val="both"/>
        <w:rPr>
          <w:b/>
          <w:sz w:val="16"/>
          <w:szCs w:val="16"/>
        </w:rPr>
      </w:pPr>
    </w:p>
    <w:p w:rsidR="00BD704F" w:rsidRDefault="00BD704F" w:rsidP="00BD704F">
      <w:pPr>
        <w:jc w:val="both"/>
        <w:rPr>
          <w:b/>
          <w:sz w:val="16"/>
          <w:szCs w:val="16"/>
          <w:u w:val="single"/>
        </w:rPr>
      </w:pPr>
      <w:r>
        <w:rPr>
          <w:b/>
          <w:sz w:val="16"/>
          <w:szCs w:val="16"/>
        </w:rPr>
        <w:t xml:space="preserve">III -  </w:t>
      </w:r>
      <w:r>
        <w:rPr>
          <w:b/>
          <w:sz w:val="16"/>
          <w:szCs w:val="16"/>
          <w:u w:val="single"/>
        </w:rPr>
        <w:t>Dnevni red 19. Skupštine:</w:t>
      </w:r>
    </w:p>
    <w:p w:rsidR="00BD704F" w:rsidRDefault="00BD704F" w:rsidP="00BD704F">
      <w:pPr>
        <w:jc w:val="both"/>
        <w:rPr>
          <w:b/>
          <w:sz w:val="16"/>
          <w:szCs w:val="16"/>
          <w:u w:val="single"/>
        </w:rPr>
      </w:pPr>
    </w:p>
    <w:p w:rsidR="00BD704F" w:rsidRDefault="00BD704F" w:rsidP="00BD704F">
      <w:pPr>
        <w:jc w:val="both"/>
        <w:rPr>
          <w:b/>
          <w:sz w:val="16"/>
          <w:szCs w:val="16"/>
        </w:rPr>
      </w:pPr>
      <w:r>
        <w:rPr>
          <w:b/>
          <w:sz w:val="16"/>
          <w:szCs w:val="16"/>
        </w:rPr>
        <w:t xml:space="preserve">         Nadzorni odbor je utvrdio slijedeći dnevni red:</w:t>
      </w:r>
    </w:p>
    <w:p w:rsidR="00BD704F" w:rsidRDefault="00BD704F" w:rsidP="00BD704F">
      <w:pPr>
        <w:jc w:val="both"/>
        <w:rPr>
          <w:b/>
          <w:sz w:val="16"/>
          <w:szCs w:val="16"/>
        </w:rPr>
      </w:pPr>
      <w:r>
        <w:rPr>
          <w:b/>
          <w:sz w:val="16"/>
          <w:szCs w:val="16"/>
        </w:rPr>
        <w:t xml:space="preserve">         Predhodni  postupak: utvrđivanje kvoruma za rad Skupštine.</w:t>
      </w:r>
    </w:p>
    <w:p w:rsidR="00BD704F" w:rsidRDefault="00BD704F" w:rsidP="00BD704F">
      <w:pPr>
        <w:jc w:val="both"/>
        <w:rPr>
          <w:b/>
          <w:sz w:val="16"/>
          <w:szCs w:val="16"/>
        </w:rPr>
      </w:pPr>
    </w:p>
    <w:p w:rsidR="00BD704F" w:rsidRDefault="00BD704F" w:rsidP="00BD704F">
      <w:pPr>
        <w:pStyle w:val="Paragrafspiska"/>
        <w:numPr>
          <w:ilvl w:val="0"/>
          <w:numId w:val="2"/>
        </w:numPr>
        <w:jc w:val="both"/>
        <w:rPr>
          <w:b/>
          <w:sz w:val="16"/>
          <w:szCs w:val="16"/>
        </w:rPr>
      </w:pPr>
      <w:r>
        <w:rPr>
          <w:b/>
          <w:sz w:val="16"/>
          <w:szCs w:val="16"/>
        </w:rPr>
        <w:t>Izbor  predsjednika  Skupštine  i  dva  ovjerivača  zapisnika.</w:t>
      </w:r>
    </w:p>
    <w:p w:rsidR="00BD704F" w:rsidRDefault="00BD704F" w:rsidP="00BD704F">
      <w:pPr>
        <w:pStyle w:val="Paragrafspiska"/>
        <w:numPr>
          <w:ilvl w:val="0"/>
          <w:numId w:val="2"/>
        </w:numPr>
        <w:jc w:val="both"/>
        <w:rPr>
          <w:b/>
          <w:sz w:val="16"/>
          <w:szCs w:val="16"/>
        </w:rPr>
      </w:pPr>
      <w:r>
        <w:rPr>
          <w:b/>
          <w:bCs/>
          <w:sz w:val="16"/>
          <w:szCs w:val="16"/>
        </w:rPr>
        <w:t>Donošenje odluke o usvajanju godišnjeg financijskog izvještaja o poslovanju Društva za 2019. godinu sa Izvještajem nezavisnog vanjskog revizora, Izvještajem o radu Nadzornog odbora i Izvještajem Odbora za reviziju;</w:t>
      </w:r>
    </w:p>
    <w:p w:rsidR="00BD704F" w:rsidRDefault="00BD704F" w:rsidP="00BD704F">
      <w:pPr>
        <w:pStyle w:val="Paragrafspiska"/>
        <w:numPr>
          <w:ilvl w:val="0"/>
          <w:numId w:val="2"/>
        </w:numPr>
        <w:jc w:val="both"/>
        <w:rPr>
          <w:b/>
          <w:sz w:val="16"/>
          <w:szCs w:val="16"/>
        </w:rPr>
      </w:pPr>
      <w:r>
        <w:rPr>
          <w:b/>
          <w:bCs/>
          <w:sz w:val="16"/>
          <w:szCs w:val="16"/>
        </w:rPr>
        <w:t>Donošenje odluke o razrješenju predsjednika i članova Nadzornog odbora pojedinačno zbog isteka mandata;</w:t>
      </w:r>
    </w:p>
    <w:p w:rsidR="00BD704F" w:rsidRDefault="00BD704F" w:rsidP="00BD704F">
      <w:pPr>
        <w:pStyle w:val="Paragrafspiska"/>
        <w:numPr>
          <w:ilvl w:val="0"/>
          <w:numId w:val="2"/>
        </w:numPr>
        <w:jc w:val="both"/>
        <w:rPr>
          <w:b/>
          <w:sz w:val="16"/>
          <w:szCs w:val="16"/>
        </w:rPr>
      </w:pPr>
      <w:r>
        <w:rPr>
          <w:b/>
          <w:bCs/>
          <w:sz w:val="16"/>
          <w:szCs w:val="16"/>
        </w:rPr>
        <w:t>Donošenje odluke o izboru članova Nadzornog odbora za novi mandatni period od 4. godine (2020-2024.);</w:t>
      </w:r>
    </w:p>
    <w:p w:rsidR="00BD704F" w:rsidRDefault="00BD704F" w:rsidP="00BD704F">
      <w:pPr>
        <w:pStyle w:val="Paragrafspiska"/>
        <w:numPr>
          <w:ilvl w:val="0"/>
          <w:numId w:val="2"/>
        </w:numPr>
        <w:jc w:val="both"/>
        <w:rPr>
          <w:b/>
          <w:sz w:val="16"/>
          <w:szCs w:val="16"/>
        </w:rPr>
      </w:pPr>
      <w:r>
        <w:rPr>
          <w:b/>
          <w:bCs/>
          <w:sz w:val="16"/>
          <w:szCs w:val="16"/>
        </w:rPr>
        <w:t>Donošenje odluke o razrješenju predsjednika i članova Odbora za reviziju pojedinačno zbog isteka mandata;</w:t>
      </w:r>
    </w:p>
    <w:p w:rsidR="00BD704F" w:rsidRDefault="00BD704F" w:rsidP="00BD704F">
      <w:pPr>
        <w:pStyle w:val="Paragrafspiska"/>
        <w:numPr>
          <w:ilvl w:val="0"/>
          <w:numId w:val="2"/>
        </w:numPr>
        <w:jc w:val="both"/>
        <w:rPr>
          <w:b/>
          <w:sz w:val="16"/>
          <w:szCs w:val="16"/>
        </w:rPr>
      </w:pPr>
      <w:r>
        <w:rPr>
          <w:b/>
          <w:bCs/>
          <w:sz w:val="16"/>
          <w:szCs w:val="16"/>
        </w:rPr>
        <w:t>Donošenje odluke o izboru predsjednika i članova Odbora za reviziju za novi mandatni period od 4. godine (2020-2024.);</w:t>
      </w:r>
    </w:p>
    <w:p w:rsidR="00BD704F" w:rsidRDefault="00BD704F" w:rsidP="00BD704F">
      <w:pPr>
        <w:pStyle w:val="Paragrafspiska"/>
        <w:numPr>
          <w:ilvl w:val="0"/>
          <w:numId w:val="2"/>
        </w:numPr>
        <w:jc w:val="both"/>
        <w:rPr>
          <w:b/>
          <w:sz w:val="16"/>
          <w:szCs w:val="16"/>
        </w:rPr>
      </w:pPr>
      <w:r>
        <w:rPr>
          <w:b/>
          <w:bCs/>
          <w:sz w:val="16"/>
          <w:szCs w:val="16"/>
        </w:rPr>
        <w:t>Donošenje odluke o odobravanju osnovnih elemenata za zaključivanje Ugovora Društva  sa  predsjednikom i članovima Nadzornog odbora, te Odbora za reviziju;</w:t>
      </w:r>
    </w:p>
    <w:p w:rsidR="00BD704F" w:rsidRDefault="00BD704F" w:rsidP="00BD704F">
      <w:pPr>
        <w:pStyle w:val="Paragrafspiska"/>
        <w:numPr>
          <w:ilvl w:val="0"/>
          <w:numId w:val="2"/>
        </w:numPr>
        <w:jc w:val="both"/>
        <w:rPr>
          <w:b/>
          <w:sz w:val="16"/>
          <w:szCs w:val="16"/>
        </w:rPr>
      </w:pPr>
      <w:r>
        <w:rPr>
          <w:b/>
          <w:bCs/>
          <w:sz w:val="16"/>
          <w:szCs w:val="16"/>
        </w:rPr>
        <w:t>Donošenje odluke o izboru Vanjskog revizora za 2020. godinu.</w:t>
      </w:r>
    </w:p>
    <w:p w:rsidR="00BD704F" w:rsidRDefault="00BD704F" w:rsidP="00BD704F">
      <w:pPr>
        <w:pStyle w:val="Paragrafspiska"/>
        <w:jc w:val="both"/>
        <w:rPr>
          <w:b/>
          <w:sz w:val="16"/>
          <w:szCs w:val="16"/>
        </w:rPr>
      </w:pPr>
    </w:p>
    <w:p w:rsidR="00BD704F" w:rsidRDefault="00BD704F" w:rsidP="00BD704F">
      <w:pPr>
        <w:pStyle w:val="Tijeloteksta2"/>
        <w:rPr>
          <w:rFonts w:ascii="Times New Roman" w:hAnsi="Times New Roman" w:cs="Times New Roman"/>
          <w:b/>
          <w:bCs/>
          <w:sz w:val="16"/>
          <w:szCs w:val="16"/>
        </w:rPr>
      </w:pPr>
      <w:r>
        <w:rPr>
          <w:rFonts w:ascii="Times New Roman" w:hAnsi="Times New Roman" w:cs="Times New Roman"/>
          <w:b/>
          <w:bCs/>
          <w:sz w:val="16"/>
          <w:szCs w:val="16"/>
        </w:rPr>
        <w:t>IV-  Za 19. Skupštinu su utvrđeni slijedeći prijedlozi odluka:</w:t>
      </w:r>
    </w:p>
    <w:p w:rsidR="00BD704F" w:rsidRDefault="00BD704F" w:rsidP="00BD704F">
      <w:pPr>
        <w:pStyle w:val="Tijeloteksta2"/>
        <w:rPr>
          <w:rFonts w:ascii="Times New Roman" w:hAnsi="Times New Roman" w:cs="Times New Roman"/>
          <w:b/>
          <w:bCs/>
          <w:sz w:val="16"/>
          <w:szCs w:val="16"/>
        </w:rPr>
      </w:pPr>
    </w:p>
    <w:p w:rsidR="00BD704F" w:rsidRDefault="00BD704F" w:rsidP="00BD704F">
      <w:pPr>
        <w:pStyle w:val="Tijeloteksta2"/>
        <w:numPr>
          <w:ilvl w:val="0"/>
          <w:numId w:val="3"/>
        </w:numPr>
        <w:spacing w:line="276" w:lineRule="auto"/>
        <w:rPr>
          <w:rFonts w:ascii="Times New Roman" w:hAnsi="Times New Roman" w:cs="Times New Roman"/>
          <w:b/>
          <w:bCs/>
          <w:sz w:val="16"/>
          <w:szCs w:val="16"/>
        </w:rPr>
      </w:pPr>
      <w:r>
        <w:rPr>
          <w:rFonts w:ascii="Times New Roman" w:hAnsi="Times New Roman" w:cs="Times New Roman"/>
          <w:b/>
          <w:bCs/>
          <w:sz w:val="16"/>
          <w:szCs w:val="16"/>
        </w:rPr>
        <w:t>Predlaže se da Skupština usvoji godišnji Izvještaj o poslovanju Društva  za 2019. godinu sa Izvještajima Nadzornog odbora, Odbora za reviziju i  Vanjskog revizora.</w:t>
      </w:r>
    </w:p>
    <w:p w:rsidR="00BD704F" w:rsidRDefault="00BD704F" w:rsidP="00BD704F">
      <w:pPr>
        <w:pStyle w:val="Tijeloteksta2"/>
        <w:numPr>
          <w:ilvl w:val="0"/>
          <w:numId w:val="3"/>
        </w:numPr>
        <w:rPr>
          <w:rFonts w:ascii="Times New Roman" w:hAnsi="Times New Roman" w:cs="Times New Roman"/>
          <w:b/>
          <w:bCs/>
          <w:sz w:val="16"/>
          <w:szCs w:val="16"/>
        </w:rPr>
      </w:pPr>
      <w:r>
        <w:rPr>
          <w:rFonts w:ascii="Times New Roman" w:hAnsi="Times New Roman" w:cs="Times New Roman"/>
          <w:b/>
          <w:bCs/>
          <w:sz w:val="16"/>
          <w:szCs w:val="16"/>
        </w:rPr>
        <w:t>Predlaže se da Skupština donese odluku o razrješenju predsjednika i članova Nadzornog odbora, zbog isteka mandata.</w:t>
      </w:r>
    </w:p>
    <w:p w:rsidR="00BD704F" w:rsidRDefault="00BD704F" w:rsidP="00BD704F">
      <w:pPr>
        <w:pStyle w:val="Paragrafspiska"/>
        <w:numPr>
          <w:ilvl w:val="0"/>
          <w:numId w:val="3"/>
        </w:numPr>
        <w:jc w:val="both"/>
        <w:rPr>
          <w:b/>
          <w:sz w:val="16"/>
          <w:szCs w:val="16"/>
        </w:rPr>
      </w:pPr>
      <w:r>
        <w:rPr>
          <w:b/>
          <w:bCs/>
          <w:sz w:val="16"/>
          <w:szCs w:val="16"/>
        </w:rPr>
        <w:t xml:space="preserve">Predlaže se da Skupština donese odluku o izboru </w:t>
      </w:r>
      <w:r>
        <w:rPr>
          <w:b/>
          <w:sz w:val="16"/>
          <w:szCs w:val="16"/>
        </w:rPr>
        <w:t xml:space="preserve">članova Nadzornog odbora za novi mandatni  period od 4 godine </w:t>
      </w:r>
      <w:r>
        <w:rPr>
          <w:b/>
          <w:bCs/>
          <w:sz w:val="16"/>
          <w:szCs w:val="16"/>
        </w:rPr>
        <w:t xml:space="preserve"> (2020.-2024.).</w:t>
      </w:r>
    </w:p>
    <w:p w:rsidR="00BD704F" w:rsidRDefault="00BD704F" w:rsidP="00BD704F">
      <w:pPr>
        <w:pStyle w:val="Tijeloteksta2"/>
        <w:numPr>
          <w:ilvl w:val="0"/>
          <w:numId w:val="3"/>
        </w:numPr>
        <w:spacing w:line="276" w:lineRule="auto"/>
        <w:rPr>
          <w:rFonts w:ascii="Times New Roman" w:hAnsi="Times New Roman" w:cs="Times New Roman"/>
          <w:b/>
          <w:bCs/>
          <w:sz w:val="16"/>
          <w:szCs w:val="16"/>
        </w:rPr>
      </w:pPr>
      <w:r>
        <w:rPr>
          <w:rFonts w:ascii="Times New Roman" w:hAnsi="Times New Roman" w:cs="Times New Roman"/>
          <w:b/>
          <w:bCs/>
          <w:sz w:val="16"/>
          <w:szCs w:val="16"/>
        </w:rPr>
        <w:t>Predlaže se da Skupština donese odluku o razrješenju predsjednika i članova Odbora za  reviziju, zbog  isteka mandata.</w:t>
      </w:r>
    </w:p>
    <w:p w:rsidR="00BD704F" w:rsidRDefault="00BD704F" w:rsidP="00BD704F">
      <w:pPr>
        <w:pStyle w:val="Tijeloteksta2"/>
        <w:numPr>
          <w:ilvl w:val="0"/>
          <w:numId w:val="3"/>
        </w:numPr>
        <w:spacing w:line="276" w:lineRule="auto"/>
        <w:rPr>
          <w:rFonts w:ascii="Times New Roman" w:hAnsi="Times New Roman" w:cs="Times New Roman"/>
          <w:b/>
          <w:bCs/>
          <w:sz w:val="16"/>
          <w:szCs w:val="16"/>
        </w:rPr>
      </w:pPr>
      <w:r>
        <w:rPr>
          <w:rFonts w:ascii="Times New Roman" w:hAnsi="Times New Roman" w:cs="Times New Roman"/>
          <w:b/>
          <w:bCs/>
          <w:sz w:val="16"/>
          <w:szCs w:val="16"/>
        </w:rPr>
        <w:t>Predlaže se da Skupština donese odluku o izboru predsjednika i članova Odbora za Reviziju za novi mandatni period (2020.-2024.).</w:t>
      </w:r>
    </w:p>
    <w:p w:rsidR="00BD704F" w:rsidRDefault="00BD704F" w:rsidP="00BD704F">
      <w:pPr>
        <w:pStyle w:val="Tijeloteksta2"/>
        <w:numPr>
          <w:ilvl w:val="0"/>
          <w:numId w:val="3"/>
        </w:numPr>
        <w:spacing w:line="276" w:lineRule="auto"/>
        <w:rPr>
          <w:rFonts w:ascii="Times New Roman" w:hAnsi="Times New Roman" w:cs="Times New Roman"/>
          <w:b/>
          <w:bCs/>
          <w:sz w:val="16"/>
          <w:szCs w:val="16"/>
        </w:rPr>
      </w:pPr>
      <w:r>
        <w:rPr>
          <w:rFonts w:ascii="Times New Roman" w:hAnsi="Times New Roman" w:cs="Times New Roman"/>
          <w:b/>
          <w:bCs/>
          <w:sz w:val="16"/>
          <w:szCs w:val="16"/>
        </w:rPr>
        <w:t>Predlaže se da Skupština donese odluku o naknadi za članove Nadzornog odbora, te Odbora  za reviziju.</w:t>
      </w:r>
    </w:p>
    <w:p w:rsidR="00BD704F" w:rsidRDefault="00BD704F" w:rsidP="00BD704F">
      <w:pPr>
        <w:pStyle w:val="Tijeloteksta2"/>
        <w:numPr>
          <w:ilvl w:val="0"/>
          <w:numId w:val="3"/>
        </w:numPr>
        <w:rPr>
          <w:rFonts w:ascii="Times New Roman" w:hAnsi="Times New Roman" w:cs="Times New Roman"/>
          <w:b/>
          <w:bCs/>
          <w:sz w:val="16"/>
          <w:szCs w:val="16"/>
        </w:rPr>
      </w:pPr>
      <w:r>
        <w:rPr>
          <w:rFonts w:ascii="Times New Roman" w:hAnsi="Times New Roman" w:cs="Times New Roman"/>
          <w:b/>
          <w:bCs/>
          <w:sz w:val="16"/>
          <w:szCs w:val="16"/>
        </w:rPr>
        <w:t>Predlaže se da Skupština  donese odluku o izboru Vanjskog revizora za 2020. godinu</w:t>
      </w:r>
    </w:p>
    <w:p w:rsidR="00BD704F" w:rsidRDefault="00BD704F" w:rsidP="00BD704F">
      <w:pPr>
        <w:pStyle w:val="Tijeloteksta2"/>
        <w:rPr>
          <w:rFonts w:ascii="Times New Roman" w:hAnsi="Times New Roman" w:cs="Times New Roman"/>
          <w:b/>
          <w:bCs/>
          <w:sz w:val="16"/>
          <w:szCs w:val="16"/>
        </w:rPr>
      </w:pPr>
    </w:p>
    <w:p w:rsidR="00BD704F" w:rsidRDefault="00BD704F" w:rsidP="00BD704F">
      <w:pPr>
        <w:pStyle w:val="Tijeloteksta2"/>
        <w:jc w:val="center"/>
        <w:rPr>
          <w:rFonts w:ascii="Times New Roman" w:hAnsi="Times New Roman" w:cs="Times New Roman"/>
          <w:b/>
          <w:bCs/>
          <w:sz w:val="16"/>
          <w:szCs w:val="16"/>
        </w:rPr>
      </w:pPr>
    </w:p>
    <w:p w:rsidR="00BD704F" w:rsidRDefault="00BD704F" w:rsidP="00BD704F">
      <w:pPr>
        <w:pStyle w:val="Tijeloteksta2"/>
        <w:rPr>
          <w:rFonts w:ascii="Times New Roman" w:hAnsi="Times New Roman" w:cs="Times New Roman"/>
          <w:b/>
          <w:bCs/>
          <w:sz w:val="16"/>
          <w:szCs w:val="16"/>
          <w:u w:val="single"/>
        </w:rPr>
      </w:pPr>
      <w:r>
        <w:rPr>
          <w:rFonts w:ascii="Times New Roman" w:hAnsi="Times New Roman" w:cs="Times New Roman"/>
          <w:b/>
          <w:bCs/>
          <w:sz w:val="16"/>
          <w:szCs w:val="16"/>
        </w:rPr>
        <w:t xml:space="preserve">V  - </w:t>
      </w:r>
      <w:r>
        <w:rPr>
          <w:rFonts w:ascii="Times New Roman" w:hAnsi="Times New Roman" w:cs="Times New Roman"/>
          <w:b/>
          <w:bCs/>
          <w:sz w:val="16"/>
          <w:szCs w:val="16"/>
          <w:u w:val="single"/>
        </w:rPr>
        <w:t>Postupak prijave za učešće u radu i odlučivanju na Skupštini te način glasanja:</w:t>
      </w:r>
    </w:p>
    <w:p w:rsidR="00BD704F" w:rsidRDefault="00BD704F" w:rsidP="00BD704F">
      <w:pPr>
        <w:pStyle w:val="Tijeloteksta2"/>
        <w:rPr>
          <w:rFonts w:ascii="Times New Roman" w:hAnsi="Times New Roman" w:cs="Times New Roman"/>
          <w:b/>
          <w:bCs/>
          <w:sz w:val="16"/>
          <w:szCs w:val="16"/>
          <w:u w:val="single"/>
        </w:rPr>
      </w:pPr>
    </w:p>
    <w:p w:rsidR="00BD704F" w:rsidRDefault="00BD704F" w:rsidP="00BD704F">
      <w:pPr>
        <w:pStyle w:val="Tijeloteksta2"/>
        <w:numPr>
          <w:ilvl w:val="0"/>
          <w:numId w:val="4"/>
        </w:numPr>
        <w:rPr>
          <w:rFonts w:ascii="Times New Roman" w:hAnsi="Times New Roman" w:cs="Times New Roman"/>
          <w:b/>
          <w:bCs/>
          <w:sz w:val="16"/>
          <w:szCs w:val="16"/>
        </w:rPr>
      </w:pPr>
      <w:r>
        <w:rPr>
          <w:rFonts w:ascii="Times New Roman" w:hAnsi="Times New Roman" w:cs="Times New Roman"/>
          <w:b/>
          <w:bCs/>
          <w:sz w:val="16"/>
          <w:szCs w:val="16"/>
        </w:rPr>
        <w:t>Pravo učešća u radu i odlučivanju Skupštine imaju dioničari koji su se nalazili na listi dioničara kod Registra za vrijednosne papire FBiH 30 dana prije dana održavanja Skupštine  ili posljednjeg radnog dana koji prethodni tom roku ako on pada u neradni dan.</w:t>
      </w:r>
    </w:p>
    <w:p w:rsidR="00BD704F" w:rsidRDefault="00BD704F" w:rsidP="00BD704F">
      <w:pPr>
        <w:pStyle w:val="Tijeloteksta2"/>
        <w:numPr>
          <w:ilvl w:val="0"/>
          <w:numId w:val="4"/>
        </w:numPr>
        <w:rPr>
          <w:rFonts w:ascii="Times New Roman" w:hAnsi="Times New Roman" w:cs="Times New Roman"/>
          <w:b/>
          <w:bCs/>
          <w:sz w:val="16"/>
          <w:szCs w:val="16"/>
        </w:rPr>
      </w:pPr>
      <w:r>
        <w:rPr>
          <w:rFonts w:ascii="Times New Roman" w:hAnsi="Times New Roman" w:cs="Times New Roman"/>
          <w:b/>
          <w:bCs/>
          <w:sz w:val="16"/>
          <w:szCs w:val="16"/>
        </w:rPr>
        <w:t>Pravo učešća u radu i odlučivanju dioničar može ostvariti neposredno ili putem punomoćnika.</w:t>
      </w:r>
    </w:p>
    <w:p w:rsidR="00BD704F" w:rsidRDefault="00BD704F" w:rsidP="00BD704F">
      <w:pPr>
        <w:pStyle w:val="Tijeloteksta2"/>
        <w:ind w:left="502"/>
        <w:rPr>
          <w:rFonts w:ascii="Times New Roman" w:hAnsi="Times New Roman" w:cs="Times New Roman"/>
          <w:b/>
          <w:bCs/>
          <w:sz w:val="16"/>
          <w:szCs w:val="16"/>
        </w:rPr>
      </w:pPr>
      <w:r>
        <w:rPr>
          <w:rFonts w:ascii="Times New Roman" w:hAnsi="Times New Roman" w:cs="Times New Roman"/>
          <w:b/>
          <w:bCs/>
          <w:sz w:val="16"/>
          <w:szCs w:val="16"/>
        </w:rPr>
        <w:t>Punomoć za zastupanje dioničara daje se u obliku ovjerene pisane izjave potpisane od strane dioničara-vlastodavca i punomoćnika i dostavlja se Trgovini „Borac“ d.d. Travnik osobno, poštanskom pošiljkom ili faksom.</w:t>
      </w:r>
    </w:p>
    <w:p w:rsidR="00BD704F" w:rsidRDefault="00BD704F" w:rsidP="00BD704F">
      <w:pPr>
        <w:pStyle w:val="Tijeloteksta2"/>
        <w:ind w:left="502"/>
        <w:rPr>
          <w:rFonts w:ascii="Times New Roman" w:hAnsi="Times New Roman" w:cs="Times New Roman"/>
          <w:b/>
          <w:bCs/>
          <w:sz w:val="16"/>
          <w:szCs w:val="16"/>
        </w:rPr>
      </w:pPr>
      <w:r>
        <w:rPr>
          <w:rFonts w:ascii="Times New Roman" w:hAnsi="Times New Roman" w:cs="Times New Roman"/>
          <w:b/>
          <w:bCs/>
          <w:sz w:val="16"/>
          <w:szCs w:val="16"/>
        </w:rPr>
        <w:t>Punomoć za Skupštinu daje se nakon objavljivanja obavještenja o sazivanju Skupštine.</w:t>
      </w:r>
    </w:p>
    <w:p w:rsidR="00BD704F" w:rsidRDefault="00BD704F" w:rsidP="00BD704F">
      <w:pPr>
        <w:pStyle w:val="Tijeloteksta2"/>
        <w:numPr>
          <w:ilvl w:val="0"/>
          <w:numId w:val="4"/>
        </w:numPr>
        <w:rPr>
          <w:rFonts w:ascii="Times New Roman" w:hAnsi="Times New Roman" w:cs="Times New Roman"/>
          <w:b/>
          <w:bCs/>
          <w:sz w:val="16"/>
          <w:szCs w:val="16"/>
        </w:rPr>
      </w:pPr>
      <w:r>
        <w:rPr>
          <w:rFonts w:ascii="Times New Roman" w:hAnsi="Times New Roman" w:cs="Times New Roman"/>
          <w:b/>
          <w:bCs/>
          <w:sz w:val="16"/>
          <w:szCs w:val="16"/>
        </w:rPr>
        <w:t>Doničar/punomoćnik koji namjerava učestvovati u radu i odlučivanju Skupštine dužan je najkasnije 3 (tri) dana prije dana određenog za održavanje  Skupštine Odboru za glasanje podnijeti pismenu prijavu neposredno, preporučenom pošiljkom,  na   adresu: Trgovina  „Borac“   d.d.,  ul.  Tvornička bb, 72270 Travnik, na fax:030/511-356 ili putem e-maila:  trgborac@bih.net.ba.</w:t>
      </w:r>
    </w:p>
    <w:p w:rsidR="00BD704F" w:rsidRDefault="00BD704F" w:rsidP="00BD704F">
      <w:pPr>
        <w:pStyle w:val="Tijeloteksta2"/>
        <w:ind w:left="502"/>
        <w:rPr>
          <w:rFonts w:ascii="Times New Roman" w:hAnsi="Times New Roman" w:cs="Times New Roman"/>
          <w:b/>
          <w:bCs/>
          <w:sz w:val="16"/>
          <w:szCs w:val="16"/>
        </w:rPr>
      </w:pPr>
      <w:r>
        <w:rPr>
          <w:rFonts w:ascii="Times New Roman" w:hAnsi="Times New Roman" w:cs="Times New Roman"/>
          <w:b/>
          <w:bCs/>
          <w:sz w:val="16"/>
          <w:szCs w:val="16"/>
        </w:rPr>
        <w:t>Uz prijavu se obavezno prilaže dokaz za identifikaciju podnosioca prijave (fotokopija osobne karte ili putovnice), a punomoćnici i punomoći.</w:t>
      </w:r>
    </w:p>
    <w:p w:rsidR="00BD704F" w:rsidRDefault="00BD704F" w:rsidP="00BD704F">
      <w:pPr>
        <w:pStyle w:val="Tijeloteksta2"/>
        <w:numPr>
          <w:ilvl w:val="0"/>
          <w:numId w:val="4"/>
        </w:numPr>
        <w:rPr>
          <w:rFonts w:ascii="Times New Roman" w:hAnsi="Times New Roman" w:cs="Times New Roman"/>
          <w:b/>
          <w:bCs/>
          <w:sz w:val="16"/>
          <w:szCs w:val="16"/>
        </w:rPr>
      </w:pPr>
      <w:r>
        <w:rPr>
          <w:rFonts w:ascii="Times New Roman" w:hAnsi="Times New Roman" w:cs="Times New Roman"/>
          <w:b/>
          <w:bCs/>
          <w:sz w:val="16"/>
          <w:szCs w:val="16"/>
        </w:rPr>
        <w:t>Podnosiocu prijave Odbor  za glasanje će izdati potvrdu o prijavi učešća na Skupštini, koju je dioničar odnosno punomoćnik dužan predati Odboru za glasanje najkasnije 30 minuta prije vremena određenog za početak Skupštine.</w:t>
      </w:r>
    </w:p>
    <w:p w:rsidR="00BD704F" w:rsidRPr="004B77BC" w:rsidRDefault="00BD704F" w:rsidP="004B77BC">
      <w:pPr>
        <w:pStyle w:val="Tijeloteksta2"/>
        <w:numPr>
          <w:ilvl w:val="0"/>
          <w:numId w:val="4"/>
        </w:numPr>
        <w:rPr>
          <w:rFonts w:ascii="Times New Roman" w:hAnsi="Times New Roman" w:cs="Times New Roman"/>
          <w:b/>
          <w:bCs/>
          <w:sz w:val="16"/>
          <w:szCs w:val="16"/>
        </w:rPr>
      </w:pPr>
      <w:r>
        <w:rPr>
          <w:rFonts w:ascii="Times New Roman" w:hAnsi="Times New Roman" w:cs="Times New Roman"/>
          <w:b/>
          <w:bCs/>
          <w:sz w:val="16"/>
          <w:szCs w:val="16"/>
        </w:rPr>
        <w:t xml:space="preserve">Pravo odlučivanja na Skupštini Društva dioničar može ostvariti glasanjem putem popunjenih i potpisanih glasačkih listića dostavljenih Društvu putem pošte ili faksa prije datuma održavanja Skupštine. </w:t>
      </w:r>
      <w:r w:rsidRPr="004B77BC">
        <w:rPr>
          <w:rFonts w:ascii="Times New Roman" w:hAnsi="Times New Roman" w:cs="Times New Roman"/>
          <w:b/>
          <w:bCs/>
          <w:sz w:val="16"/>
          <w:szCs w:val="16"/>
        </w:rPr>
        <w:t xml:space="preserve">U ovom slučaju dioničari mogu najkasnije u </w:t>
      </w:r>
      <w:r w:rsidRPr="004B77BC">
        <w:rPr>
          <w:rFonts w:ascii="Times New Roman" w:hAnsi="Times New Roman" w:cs="Times New Roman"/>
          <w:b/>
          <w:bCs/>
          <w:sz w:val="16"/>
          <w:szCs w:val="16"/>
        </w:rPr>
        <w:lastRenderedPageBreak/>
        <w:t>roku od 3 (tri) dana od dana objavljivanja obavještenja o sazivanju Skupštin</w:t>
      </w:r>
      <w:r w:rsidR="004B77BC" w:rsidRPr="004B77BC">
        <w:rPr>
          <w:rFonts w:ascii="Times New Roman" w:hAnsi="Times New Roman" w:cs="Times New Roman"/>
          <w:b/>
          <w:bCs/>
          <w:sz w:val="16"/>
          <w:szCs w:val="16"/>
        </w:rPr>
        <w:t xml:space="preserve">e </w:t>
      </w:r>
      <w:r w:rsidRPr="004B77BC">
        <w:rPr>
          <w:rFonts w:ascii="Times New Roman" w:hAnsi="Times New Roman" w:cs="Times New Roman"/>
          <w:b/>
          <w:bCs/>
          <w:sz w:val="16"/>
          <w:szCs w:val="16"/>
        </w:rPr>
        <w:t>Društva u dnevnim novinama</w:t>
      </w:r>
      <w:r w:rsidR="004B77BC">
        <w:rPr>
          <w:rFonts w:ascii="Times New Roman" w:hAnsi="Times New Roman" w:cs="Times New Roman"/>
          <w:b/>
          <w:bCs/>
          <w:sz w:val="16"/>
          <w:szCs w:val="16"/>
        </w:rPr>
        <w:t>,</w:t>
      </w:r>
      <w:r w:rsidRPr="004B77BC">
        <w:rPr>
          <w:rFonts w:ascii="Times New Roman" w:hAnsi="Times New Roman" w:cs="Times New Roman"/>
          <w:b/>
          <w:bCs/>
          <w:sz w:val="16"/>
          <w:szCs w:val="16"/>
        </w:rPr>
        <w:t xml:space="preserve"> pismenim putem obavijestiti Društvo da žele pravo odlučivanja na Skupštini ostvariti glasanjem u odsustvu. </w:t>
      </w:r>
    </w:p>
    <w:p w:rsidR="00BD704F" w:rsidRDefault="00BD704F" w:rsidP="00BD704F">
      <w:pPr>
        <w:pStyle w:val="Tijeloteksta2"/>
        <w:numPr>
          <w:ilvl w:val="0"/>
          <w:numId w:val="4"/>
        </w:numPr>
        <w:rPr>
          <w:rFonts w:ascii="Times New Roman" w:hAnsi="Times New Roman" w:cs="Times New Roman"/>
          <w:b/>
          <w:bCs/>
          <w:sz w:val="16"/>
          <w:szCs w:val="16"/>
        </w:rPr>
      </w:pPr>
      <w:r>
        <w:rPr>
          <w:rFonts w:ascii="Times New Roman" w:hAnsi="Times New Roman" w:cs="Times New Roman"/>
          <w:b/>
          <w:bCs/>
          <w:sz w:val="16"/>
          <w:szCs w:val="16"/>
        </w:rPr>
        <w:t>Društvo će u roku od 2 (dva) dana od dana prijema obavijesti dioničara, dostaviti dioničaru na adresu iz liste prijedloge svih odluka po pitanjima koja su uvrštena u dnevni red Skupštine Društva i glasačke listiće, a dioničar može dostaviti popunjene glasačke listiće najkasnije 3 (tri) dana prije dana održavanja Skupštine Društva.</w:t>
      </w:r>
    </w:p>
    <w:p w:rsidR="00BD704F" w:rsidRDefault="00BD704F" w:rsidP="00BD704F">
      <w:pPr>
        <w:pStyle w:val="Tijeloteksta2"/>
        <w:rPr>
          <w:rFonts w:ascii="Times New Roman" w:hAnsi="Times New Roman" w:cs="Times New Roman"/>
          <w:b/>
          <w:bCs/>
          <w:sz w:val="16"/>
          <w:szCs w:val="16"/>
        </w:rPr>
      </w:pPr>
    </w:p>
    <w:p w:rsidR="00BD704F" w:rsidRDefault="00BD704F" w:rsidP="00BD704F">
      <w:pPr>
        <w:pStyle w:val="Tijeloteksta2"/>
        <w:rPr>
          <w:rFonts w:ascii="Times New Roman" w:hAnsi="Times New Roman" w:cs="Times New Roman"/>
          <w:b/>
          <w:bCs/>
          <w:sz w:val="16"/>
          <w:szCs w:val="16"/>
          <w:u w:val="single"/>
        </w:rPr>
      </w:pPr>
      <w:r>
        <w:rPr>
          <w:rFonts w:ascii="Times New Roman" w:hAnsi="Times New Roman" w:cs="Times New Roman"/>
          <w:b/>
          <w:bCs/>
          <w:sz w:val="16"/>
          <w:szCs w:val="16"/>
        </w:rPr>
        <w:t xml:space="preserve"> VI -  </w:t>
      </w:r>
      <w:r>
        <w:rPr>
          <w:rFonts w:ascii="Times New Roman" w:hAnsi="Times New Roman" w:cs="Times New Roman"/>
          <w:b/>
          <w:bCs/>
          <w:sz w:val="16"/>
          <w:szCs w:val="16"/>
          <w:u w:val="single"/>
        </w:rPr>
        <w:t xml:space="preserve">Glasanje </w:t>
      </w:r>
    </w:p>
    <w:p w:rsidR="00BD704F" w:rsidRDefault="00BD704F" w:rsidP="00BD704F">
      <w:pPr>
        <w:pStyle w:val="Tijeloteksta2"/>
        <w:rPr>
          <w:rFonts w:ascii="Times New Roman" w:hAnsi="Times New Roman" w:cs="Times New Roman"/>
          <w:b/>
          <w:bCs/>
          <w:sz w:val="16"/>
          <w:szCs w:val="16"/>
          <w:u w:val="single"/>
        </w:rPr>
      </w:pPr>
    </w:p>
    <w:p w:rsidR="00BD704F" w:rsidRDefault="00BD704F" w:rsidP="00BD704F">
      <w:pPr>
        <w:pStyle w:val="Tijeloteksta2"/>
        <w:rPr>
          <w:rFonts w:ascii="Times New Roman" w:hAnsi="Times New Roman" w:cs="Times New Roman"/>
          <w:b/>
          <w:bCs/>
          <w:sz w:val="16"/>
          <w:szCs w:val="16"/>
        </w:rPr>
      </w:pPr>
      <w:r>
        <w:rPr>
          <w:rFonts w:ascii="Times New Roman" w:hAnsi="Times New Roman" w:cs="Times New Roman"/>
          <w:b/>
          <w:bCs/>
          <w:sz w:val="16"/>
          <w:szCs w:val="16"/>
        </w:rPr>
        <w:t xml:space="preserve">            Glasanje na Skupštini vrši se:</w:t>
      </w:r>
    </w:p>
    <w:p w:rsidR="00BD704F" w:rsidRDefault="00BD704F" w:rsidP="00BD704F">
      <w:pPr>
        <w:pStyle w:val="Tijeloteksta2"/>
        <w:numPr>
          <w:ilvl w:val="0"/>
          <w:numId w:val="5"/>
        </w:numPr>
        <w:rPr>
          <w:rFonts w:ascii="Times New Roman" w:hAnsi="Times New Roman" w:cs="Times New Roman"/>
          <w:b/>
          <w:bCs/>
          <w:sz w:val="16"/>
          <w:szCs w:val="16"/>
        </w:rPr>
      </w:pPr>
      <w:r>
        <w:rPr>
          <w:rFonts w:ascii="Times New Roman" w:hAnsi="Times New Roman" w:cs="Times New Roman"/>
          <w:b/>
          <w:bCs/>
          <w:sz w:val="16"/>
          <w:szCs w:val="16"/>
        </w:rPr>
        <w:t>javnom aklamacijom za točku dnevnog reda „jedan“,</w:t>
      </w:r>
    </w:p>
    <w:p w:rsidR="00BD704F" w:rsidRDefault="00BD704F" w:rsidP="00BD704F">
      <w:pPr>
        <w:pStyle w:val="Tijeloteksta2"/>
        <w:numPr>
          <w:ilvl w:val="0"/>
          <w:numId w:val="5"/>
        </w:numPr>
        <w:rPr>
          <w:rFonts w:ascii="Times New Roman" w:hAnsi="Times New Roman" w:cs="Times New Roman"/>
          <w:b/>
          <w:bCs/>
          <w:sz w:val="16"/>
          <w:szCs w:val="16"/>
        </w:rPr>
      </w:pPr>
      <w:r>
        <w:rPr>
          <w:rFonts w:ascii="Times New Roman" w:hAnsi="Times New Roman" w:cs="Times New Roman"/>
          <w:b/>
          <w:bCs/>
          <w:sz w:val="16"/>
          <w:szCs w:val="16"/>
        </w:rPr>
        <w:t>putem  glasačkih  listića  zaokruživanjem  odgovora  „ZA“  ili  „PROTIV“ prijedloga  odluke za tačke  dnevnog reda  2., 3.,5.,7 i 8.</w:t>
      </w:r>
    </w:p>
    <w:p w:rsidR="00BD704F" w:rsidRDefault="00BD704F" w:rsidP="00BD704F">
      <w:pPr>
        <w:pStyle w:val="Tijeloteksta2"/>
        <w:numPr>
          <w:ilvl w:val="0"/>
          <w:numId w:val="5"/>
        </w:numPr>
        <w:rPr>
          <w:rFonts w:ascii="Times New Roman" w:hAnsi="Times New Roman" w:cs="Times New Roman"/>
          <w:b/>
          <w:bCs/>
          <w:sz w:val="16"/>
          <w:szCs w:val="16"/>
        </w:rPr>
      </w:pPr>
      <w:r>
        <w:rPr>
          <w:rFonts w:ascii="Times New Roman" w:hAnsi="Times New Roman" w:cs="Times New Roman"/>
          <w:b/>
          <w:bCs/>
          <w:sz w:val="16"/>
          <w:szCs w:val="16"/>
        </w:rPr>
        <w:t>putem glasačkih listića i metoda kumulativnog glasanja zaokruživanjem rednog broja-imena i prezimena kandidata za točke dnevnog reda 4. i 6.</w:t>
      </w:r>
    </w:p>
    <w:p w:rsidR="00BD704F" w:rsidRDefault="00BD704F" w:rsidP="00BD704F">
      <w:pPr>
        <w:pStyle w:val="Tijeloteksta2"/>
        <w:rPr>
          <w:rFonts w:ascii="Times New Roman" w:hAnsi="Times New Roman" w:cs="Times New Roman"/>
          <w:b/>
          <w:bCs/>
          <w:sz w:val="16"/>
          <w:szCs w:val="16"/>
        </w:rPr>
      </w:pPr>
      <w:r>
        <w:rPr>
          <w:rFonts w:ascii="Times New Roman" w:hAnsi="Times New Roman" w:cs="Times New Roman"/>
          <w:b/>
          <w:bCs/>
          <w:sz w:val="16"/>
          <w:szCs w:val="16"/>
        </w:rPr>
        <w:t>Glasački listići sadrže ime ili  firmu dioničara, broj glasova kojim raspolaže, prijedlog odluke i potpis dioničara-punomoćnika.</w:t>
      </w:r>
    </w:p>
    <w:p w:rsidR="00BD704F" w:rsidRDefault="00BD704F" w:rsidP="00BD704F">
      <w:pPr>
        <w:pStyle w:val="Tijeloteksta2"/>
        <w:rPr>
          <w:rFonts w:ascii="Times New Roman" w:hAnsi="Times New Roman" w:cs="Times New Roman"/>
          <w:b/>
          <w:bCs/>
          <w:sz w:val="16"/>
          <w:szCs w:val="16"/>
        </w:rPr>
      </w:pPr>
    </w:p>
    <w:p w:rsidR="00BD704F" w:rsidRDefault="00BD704F" w:rsidP="00BD704F">
      <w:pPr>
        <w:pStyle w:val="Tijeloteksta2"/>
        <w:rPr>
          <w:rFonts w:ascii="Times New Roman" w:hAnsi="Times New Roman" w:cs="Times New Roman"/>
          <w:b/>
          <w:bCs/>
          <w:sz w:val="16"/>
          <w:szCs w:val="16"/>
          <w:u w:val="single"/>
        </w:rPr>
      </w:pPr>
      <w:r>
        <w:rPr>
          <w:rFonts w:ascii="Times New Roman" w:hAnsi="Times New Roman" w:cs="Times New Roman"/>
          <w:b/>
          <w:bCs/>
          <w:sz w:val="16"/>
          <w:szCs w:val="16"/>
        </w:rPr>
        <w:t xml:space="preserve">VII -   </w:t>
      </w:r>
      <w:r>
        <w:rPr>
          <w:rFonts w:ascii="Times New Roman" w:hAnsi="Times New Roman" w:cs="Times New Roman"/>
          <w:b/>
          <w:bCs/>
          <w:sz w:val="16"/>
          <w:szCs w:val="16"/>
          <w:u w:val="single"/>
        </w:rPr>
        <w:t>Prijedlozi dioničara:</w:t>
      </w:r>
    </w:p>
    <w:p w:rsidR="00BD704F" w:rsidRDefault="00BD704F" w:rsidP="00BD704F">
      <w:pPr>
        <w:pStyle w:val="Tijeloteksta2"/>
        <w:rPr>
          <w:rFonts w:ascii="Times New Roman" w:hAnsi="Times New Roman" w:cs="Times New Roman"/>
          <w:b/>
          <w:bCs/>
          <w:sz w:val="16"/>
          <w:szCs w:val="16"/>
        </w:rPr>
      </w:pPr>
    </w:p>
    <w:p w:rsidR="00BD704F" w:rsidRDefault="00BD704F" w:rsidP="00BD704F">
      <w:pPr>
        <w:pStyle w:val="Tijeloteksta2"/>
        <w:rPr>
          <w:rFonts w:ascii="Times New Roman" w:hAnsi="Times New Roman" w:cs="Times New Roman"/>
          <w:b/>
          <w:bCs/>
          <w:sz w:val="16"/>
          <w:szCs w:val="16"/>
        </w:rPr>
      </w:pPr>
      <w:r>
        <w:rPr>
          <w:rFonts w:ascii="Times New Roman" w:hAnsi="Times New Roman" w:cs="Times New Roman"/>
          <w:b/>
          <w:bCs/>
          <w:sz w:val="16"/>
          <w:szCs w:val="16"/>
        </w:rPr>
        <w:t xml:space="preserve">           Dioničar ili grupa dioničara sa najmanje  5%  ukupnog broja dionica sa pravom glasa imaju   pravo  pismeno predložiti</w:t>
      </w:r>
    </w:p>
    <w:p w:rsidR="00BD704F" w:rsidRDefault="00BD704F" w:rsidP="00BD704F">
      <w:pPr>
        <w:pStyle w:val="Tijeloteksta2"/>
        <w:rPr>
          <w:rFonts w:ascii="Times New Roman" w:hAnsi="Times New Roman" w:cs="Times New Roman"/>
          <w:b/>
          <w:bCs/>
          <w:sz w:val="16"/>
          <w:szCs w:val="16"/>
        </w:rPr>
      </w:pPr>
      <w:r>
        <w:rPr>
          <w:rFonts w:ascii="Times New Roman" w:hAnsi="Times New Roman" w:cs="Times New Roman"/>
          <w:b/>
          <w:bCs/>
          <w:sz w:val="16"/>
          <w:szCs w:val="16"/>
        </w:rPr>
        <w:t xml:space="preserve">           izmjenu dnevnog reda i prijedloga odluka najkasnije u roku 8  (osam) dana od dana objavljivanja ovog obavještenja.</w:t>
      </w:r>
    </w:p>
    <w:p w:rsidR="00BD704F" w:rsidRDefault="00BD704F" w:rsidP="00BD704F">
      <w:pPr>
        <w:pStyle w:val="Tijeloteksta2"/>
        <w:rPr>
          <w:rFonts w:ascii="Times New Roman" w:hAnsi="Times New Roman" w:cs="Times New Roman"/>
          <w:b/>
          <w:bCs/>
          <w:sz w:val="16"/>
          <w:szCs w:val="16"/>
        </w:rPr>
      </w:pPr>
    </w:p>
    <w:p w:rsidR="00BD704F" w:rsidRDefault="00BD704F" w:rsidP="00BD704F">
      <w:pPr>
        <w:pStyle w:val="Tijeloteksta2"/>
        <w:rPr>
          <w:rFonts w:ascii="Times New Roman" w:hAnsi="Times New Roman" w:cs="Times New Roman"/>
          <w:b/>
          <w:bCs/>
          <w:sz w:val="16"/>
          <w:szCs w:val="16"/>
          <w:u w:val="single"/>
        </w:rPr>
      </w:pPr>
      <w:r>
        <w:rPr>
          <w:rFonts w:ascii="Times New Roman" w:hAnsi="Times New Roman" w:cs="Times New Roman"/>
          <w:b/>
          <w:bCs/>
          <w:sz w:val="16"/>
          <w:szCs w:val="16"/>
        </w:rPr>
        <w:t xml:space="preserve">VIII -  </w:t>
      </w:r>
      <w:r>
        <w:rPr>
          <w:rFonts w:ascii="Times New Roman" w:hAnsi="Times New Roman" w:cs="Times New Roman"/>
          <w:b/>
          <w:bCs/>
          <w:sz w:val="16"/>
          <w:szCs w:val="16"/>
          <w:u w:val="single"/>
        </w:rPr>
        <w:t>Skupštinski materijali:</w:t>
      </w:r>
    </w:p>
    <w:p w:rsidR="00BD704F" w:rsidRDefault="00BD704F" w:rsidP="00BD704F">
      <w:pPr>
        <w:pStyle w:val="Tijeloteksta2"/>
        <w:rPr>
          <w:rFonts w:ascii="Times New Roman" w:hAnsi="Times New Roman" w:cs="Times New Roman"/>
          <w:b/>
          <w:bCs/>
          <w:sz w:val="16"/>
          <w:szCs w:val="16"/>
          <w:u w:val="single"/>
        </w:rPr>
      </w:pPr>
    </w:p>
    <w:p w:rsidR="00BD704F" w:rsidRDefault="00BD704F" w:rsidP="00BD704F">
      <w:pPr>
        <w:pStyle w:val="Tijeloteksta2"/>
        <w:rPr>
          <w:rFonts w:ascii="Times New Roman" w:hAnsi="Times New Roman" w:cs="Times New Roman"/>
          <w:b/>
          <w:bCs/>
          <w:sz w:val="16"/>
          <w:szCs w:val="16"/>
        </w:rPr>
      </w:pPr>
      <w:r>
        <w:rPr>
          <w:rFonts w:ascii="Times New Roman" w:hAnsi="Times New Roman" w:cs="Times New Roman"/>
          <w:b/>
          <w:bCs/>
          <w:sz w:val="16"/>
          <w:szCs w:val="16"/>
        </w:rPr>
        <w:t xml:space="preserve">           Dioničari   odnosno  punomoćnici  dioničara  mogu   izvršiti  uvid  u sve  materijale i  prijedloge  odluka  Skupštine  svakim</w:t>
      </w:r>
    </w:p>
    <w:p w:rsidR="00BD704F" w:rsidRDefault="00BD704F" w:rsidP="00BD704F">
      <w:pPr>
        <w:pStyle w:val="Tijeloteksta2"/>
        <w:rPr>
          <w:rFonts w:ascii="Times New Roman" w:hAnsi="Times New Roman" w:cs="Times New Roman"/>
          <w:b/>
          <w:bCs/>
          <w:sz w:val="16"/>
          <w:szCs w:val="16"/>
        </w:rPr>
      </w:pPr>
      <w:r>
        <w:rPr>
          <w:rFonts w:ascii="Times New Roman" w:hAnsi="Times New Roman" w:cs="Times New Roman"/>
          <w:b/>
          <w:bCs/>
          <w:sz w:val="16"/>
          <w:szCs w:val="16"/>
        </w:rPr>
        <w:t xml:space="preserve">           radnim  danom od 10,00 do 13,00 sati počev od dana objavljivanja ovog obavještenja, u prostorijama u sjedištu Društva.</w:t>
      </w:r>
    </w:p>
    <w:p w:rsidR="00BD704F" w:rsidRDefault="00BD704F" w:rsidP="00BD704F">
      <w:pPr>
        <w:pStyle w:val="Tijeloteksta2"/>
        <w:rPr>
          <w:rFonts w:ascii="Times New Roman" w:hAnsi="Times New Roman" w:cs="Times New Roman"/>
          <w:b/>
          <w:bCs/>
          <w:sz w:val="16"/>
          <w:szCs w:val="16"/>
        </w:rPr>
      </w:pPr>
      <w:r>
        <w:rPr>
          <w:rFonts w:ascii="Times New Roman" w:hAnsi="Times New Roman" w:cs="Times New Roman"/>
          <w:b/>
          <w:bCs/>
          <w:sz w:val="16"/>
          <w:szCs w:val="16"/>
        </w:rPr>
        <w:t xml:space="preserve">           Za  ispunjavanje  zahtjeva i  davanje  potvrda  o  izvršenom  uvidu  u  materijale  te  davanje  istih na uvid ovlašten je Sekretar</w:t>
      </w:r>
    </w:p>
    <w:p w:rsidR="00BD704F" w:rsidRDefault="00BD704F" w:rsidP="00BD704F">
      <w:pPr>
        <w:pStyle w:val="Tijeloteksta2"/>
        <w:rPr>
          <w:rFonts w:ascii="Times New Roman" w:hAnsi="Times New Roman" w:cs="Times New Roman"/>
          <w:b/>
          <w:bCs/>
          <w:sz w:val="16"/>
          <w:szCs w:val="16"/>
        </w:rPr>
      </w:pPr>
      <w:r>
        <w:rPr>
          <w:rFonts w:ascii="Times New Roman" w:hAnsi="Times New Roman" w:cs="Times New Roman"/>
          <w:b/>
          <w:bCs/>
          <w:sz w:val="16"/>
          <w:szCs w:val="16"/>
        </w:rPr>
        <w:t xml:space="preserve">           Društva ali bez ovlaštenja za tumačenje sadržaja materijala. </w:t>
      </w:r>
    </w:p>
    <w:p w:rsidR="00BD704F" w:rsidRDefault="00BD704F" w:rsidP="00BD704F">
      <w:pPr>
        <w:pStyle w:val="Tijeloteksta2"/>
        <w:rPr>
          <w:rFonts w:ascii="Times New Roman" w:hAnsi="Times New Roman" w:cs="Times New Roman"/>
          <w:b/>
          <w:bCs/>
          <w:sz w:val="16"/>
          <w:szCs w:val="16"/>
        </w:rPr>
      </w:pPr>
    </w:p>
    <w:p w:rsidR="00BD704F" w:rsidRDefault="00BD704F" w:rsidP="00BD704F">
      <w:pPr>
        <w:pStyle w:val="Tijeloteksta2"/>
        <w:rPr>
          <w:rFonts w:ascii="Times New Roman" w:hAnsi="Times New Roman" w:cs="Times New Roman"/>
          <w:b/>
          <w:bCs/>
          <w:sz w:val="16"/>
          <w:szCs w:val="16"/>
        </w:rPr>
      </w:pPr>
    </w:p>
    <w:p w:rsidR="00BD704F" w:rsidRDefault="00BD704F" w:rsidP="00BD704F">
      <w:pPr>
        <w:pStyle w:val="Tijeloteksta2"/>
        <w:rPr>
          <w:rFonts w:ascii="Times New Roman" w:hAnsi="Times New Roman" w:cs="Times New Roman"/>
          <w:b/>
          <w:bCs/>
          <w:sz w:val="16"/>
          <w:szCs w:val="16"/>
        </w:rPr>
      </w:pPr>
    </w:p>
    <w:p w:rsidR="00BD704F" w:rsidRDefault="00BD704F" w:rsidP="00BD704F">
      <w:pPr>
        <w:pStyle w:val="Tijeloteksta2"/>
        <w:rPr>
          <w:rFonts w:ascii="Times New Roman" w:hAnsi="Times New Roman" w:cs="Times New Roman"/>
          <w:b/>
          <w:bCs/>
          <w:sz w:val="16"/>
          <w:szCs w:val="16"/>
        </w:rPr>
      </w:pPr>
      <w:r>
        <w:rPr>
          <w:rFonts w:ascii="Times New Roman" w:hAnsi="Times New Roman" w:cs="Times New Roman"/>
          <w:b/>
          <w:bCs/>
          <w:sz w:val="16"/>
          <w:szCs w:val="16"/>
        </w:rPr>
        <w:t xml:space="preserve">                                                                                                                                                       Predsjednik Nadzornog odbora:</w:t>
      </w:r>
    </w:p>
    <w:p w:rsidR="00BD704F" w:rsidRDefault="00BD704F" w:rsidP="00BD704F">
      <w:pPr>
        <w:pStyle w:val="Tijeloteksta2"/>
        <w:rPr>
          <w:rFonts w:ascii="Times New Roman" w:hAnsi="Times New Roman" w:cs="Times New Roman"/>
          <w:b/>
          <w:bCs/>
          <w:sz w:val="16"/>
          <w:szCs w:val="16"/>
        </w:rPr>
      </w:pPr>
      <w:r>
        <w:rPr>
          <w:rFonts w:ascii="Times New Roman" w:hAnsi="Times New Roman" w:cs="Times New Roman"/>
          <w:b/>
          <w:bCs/>
          <w:sz w:val="16"/>
          <w:szCs w:val="16"/>
        </w:rPr>
        <w:t xml:space="preserve">                                                                                                                                                                     Martin Vrebac                                                                                                                                                                                                                                                </w:t>
      </w:r>
    </w:p>
    <w:p w:rsidR="00BD704F" w:rsidRDefault="00BD704F" w:rsidP="00BD704F">
      <w:pPr>
        <w:pStyle w:val="Tijeloteksta2"/>
        <w:rPr>
          <w:rFonts w:ascii="Times New Roman" w:hAnsi="Times New Roman" w:cs="Times New Roman"/>
          <w:b/>
          <w:bCs/>
          <w:sz w:val="16"/>
          <w:szCs w:val="16"/>
        </w:rPr>
      </w:pPr>
      <w:r>
        <w:rPr>
          <w:rFonts w:ascii="Times New Roman" w:hAnsi="Times New Roman" w:cs="Times New Roman"/>
          <w:b/>
          <w:bCs/>
          <w:sz w:val="16"/>
          <w:szCs w:val="16"/>
        </w:rPr>
        <w:t xml:space="preserve">                                                                                                                                      </w:t>
      </w:r>
    </w:p>
    <w:p w:rsidR="00BD704F" w:rsidRDefault="00BD704F" w:rsidP="00BD704F"/>
    <w:p w:rsidR="001D5768" w:rsidRDefault="001D5768"/>
    <w:sectPr w:rsidR="001D5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6198"/>
    <w:multiLevelType w:val="hybridMultilevel"/>
    <w:tmpl w:val="3AC86C10"/>
    <w:lvl w:ilvl="0" w:tplc="110A09EA">
      <w:start w:val="1"/>
      <w:numFmt w:val="decimal"/>
      <w:lvlText w:val="%1."/>
      <w:lvlJc w:val="left"/>
      <w:pPr>
        <w:tabs>
          <w:tab w:val="num" w:pos="780"/>
        </w:tabs>
        <w:ind w:left="780" w:hanging="360"/>
      </w:pPr>
      <w:rPr>
        <w:rFonts w:ascii="Times New Roman" w:eastAsia="Times New Roman" w:hAnsi="Times New Roman" w:cs="Times New Roman"/>
      </w:rPr>
    </w:lvl>
    <w:lvl w:ilvl="1" w:tplc="141A0019">
      <w:start w:val="1"/>
      <w:numFmt w:val="lowerLetter"/>
      <w:lvlText w:val="%2."/>
      <w:lvlJc w:val="left"/>
      <w:pPr>
        <w:tabs>
          <w:tab w:val="num" w:pos="1500"/>
        </w:tabs>
        <w:ind w:left="1500" w:hanging="360"/>
      </w:pPr>
    </w:lvl>
    <w:lvl w:ilvl="2" w:tplc="141A001B">
      <w:start w:val="1"/>
      <w:numFmt w:val="lowerRoman"/>
      <w:lvlText w:val="%3."/>
      <w:lvlJc w:val="right"/>
      <w:pPr>
        <w:tabs>
          <w:tab w:val="num" w:pos="2220"/>
        </w:tabs>
        <w:ind w:left="2220" w:hanging="180"/>
      </w:pPr>
    </w:lvl>
    <w:lvl w:ilvl="3" w:tplc="141A000F">
      <w:start w:val="1"/>
      <w:numFmt w:val="decimal"/>
      <w:lvlText w:val="%4."/>
      <w:lvlJc w:val="left"/>
      <w:pPr>
        <w:tabs>
          <w:tab w:val="num" w:pos="2940"/>
        </w:tabs>
        <w:ind w:left="2940" w:hanging="360"/>
      </w:pPr>
    </w:lvl>
    <w:lvl w:ilvl="4" w:tplc="141A0019">
      <w:start w:val="1"/>
      <w:numFmt w:val="lowerLetter"/>
      <w:lvlText w:val="%5."/>
      <w:lvlJc w:val="left"/>
      <w:pPr>
        <w:tabs>
          <w:tab w:val="num" w:pos="3660"/>
        </w:tabs>
        <w:ind w:left="3660" w:hanging="360"/>
      </w:pPr>
    </w:lvl>
    <w:lvl w:ilvl="5" w:tplc="141A001B">
      <w:start w:val="1"/>
      <w:numFmt w:val="lowerRoman"/>
      <w:lvlText w:val="%6."/>
      <w:lvlJc w:val="right"/>
      <w:pPr>
        <w:tabs>
          <w:tab w:val="num" w:pos="4380"/>
        </w:tabs>
        <w:ind w:left="4380" w:hanging="180"/>
      </w:pPr>
    </w:lvl>
    <w:lvl w:ilvl="6" w:tplc="141A000F">
      <w:start w:val="1"/>
      <w:numFmt w:val="decimal"/>
      <w:lvlText w:val="%7."/>
      <w:lvlJc w:val="left"/>
      <w:pPr>
        <w:tabs>
          <w:tab w:val="num" w:pos="5100"/>
        </w:tabs>
        <w:ind w:left="5100" w:hanging="360"/>
      </w:pPr>
    </w:lvl>
    <w:lvl w:ilvl="7" w:tplc="141A0019">
      <w:start w:val="1"/>
      <w:numFmt w:val="lowerLetter"/>
      <w:lvlText w:val="%8."/>
      <w:lvlJc w:val="left"/>
      <w:pPr>
        <w:tabs>
          <w:tab w:val="num" w:pos="5820"/>
        </w:tabs>
        <w:ind w:left="5820" w:hanging="360"/>
      </w:pPr>
    </w:lvl>
    <w:lvl w:ilvl="8" w:tplc="141A001B">
      <w:start w:val="1"/>
      <w:numFmt w:val="lowerRoman"/>
      <w:lvlText w:val="%9."/>
      <w:lvlJc w:val="right"/>
      <w:pPr>
        <w:tabs>
          <w:tab w:val="num" w:pos="6540"/>
        </w:tabs>
        <w:ind w:left="6540" w:hanging="180"/>
      </w:pPr>
    </w:lvl>
  </w:abstractNum>
  <w:abstractNum w:abstractNumId="1">
    <w:nsid w:val="1DAB71E6"/>
    <w:multiLevelType w:val="hybridMultilevel"/>
    <w:tmpl w:val="B274AE12"/>
    <w:lvl w:ilvl="0" w:tplc="5FAA5FF2">
      <w:start w:val="1"/>
      <w:numFmt w:val="decimal"/>
      <w:lvlText w:val="%1."/>
      <w:lvlJc w:val="left"/>
      <w:pPr>
        <w:ind w:left="502" w:hanging="360"/>
      </w:pPr>
      <w:rPr>
        <w:strike w:val="0"/>
        <w:dstrike w:val="0"/>
        <w:u w:val="none" w:color="000000"/>
        <w:effect w:val="none"/>
      </w:rPr>
    </w:lvl>
    <w:lvl w:ilvl="1" w:tplc="141A0019">
      <w:start w:val="1"/>
      <w:numFmt w:val="lowerLetter"/>
      <w:lvlText w:val="%2."/>
      <w:lvlJc w:val="left"/>
      <w:pPr>
        <w:ind w:left="1222" w:hanging="360"/>
      </w:pPr>
    </w:lvl>
    <w:lvl w:ilvl="2" w:tplc="141A001B">
      <w:start w:val="1"/>
      <w:numFmt w:val="lowerRoman"/>
      <w:lvlText w:val="%3."/>
      <w:lvlJc w:val="right"/>
      <w:pPr>
        <w:ind w:left="1942" w:hanging="180"/>
      </w:pPr>
    </w:lvl>
    <w:lvl w:ilvl="3" w:tplc="141A000F">
      <w:start w:val="1"/>
      <w:numFmt w:val="decimal"/>
      <w:lvlText w:val="%4."/>
      <w:lvlJc w:val="left"/>
      <w:pPr>
        <w:ind w:left="2662" w:hanging="360"/>
      </w:pPr>
    </w:lvl>
    <w:lvl w:ilvl="4" w:tplc="141A0019">
      <w:start w:val="1"/>
      <w:numFmt w:val="lowerLetter"/>
      <w:lvlText w:val="%5."/>
      <w:lvlJc w:val="left"/>
      <w:pPr>
        <w:ind w:left="3382" w:hanging="360"/>
      </w:pPr>
    </w:lvl>
    <w:lvl w:ilvl="5" w:tplc="141A001B">
      <w:start w:val="1"/>
      <w:numFmt w:val="lowerRoman"/>
      <w:lvlText w:val="%6."/>
      <w:lvlJc w:val="right"/>
      <w:pPr>
        <w:ind w:left="4102" w:hanging="180"/>
      </w:pPr>
    </w:lvl>
    <w:lvl w:ilvl="6" w:tplc="141A000F">
      <w:start w:val="1"/>
      <w:numFmt w:val="decimal"/>
      <w:lvlText w:val="%7."/>
      <w:lvlJc w:val="left"/>
      <w:pPr>
        <w:ind w:left="4822" w:hanging="360"/>
      </w:pPr>
    </w:lvl>
    <w:lvl w:ilvl="7" w:tplc="141A0019">
      <w:start w:val="1"/>
      <w:numFmt w:val="lowerLetter"/>
      <w:lvlText w:val="%8."/>
      <w:lvlJc w:val="left"/>
      <w:pPr>
        <w:ind w:left="5542" w:hanging="360"/>
      </w:pPr>
    </w:lvl>
    <w:lvl w:ilvl="8" w:tplc="141A001B">
      <w:start w:val="1"/>
      <w:numFmt w:val="lowerRoman"/>
      <w:lvlText w:val="%9."/>
      <w:lvlJc w:val="right"/>
      <w:pPr>
        <w:ind w:left="6262" w:hanging="180"/>
      </w:pPr>
    </w:lvl>
  </w:abstractNum>
  <w:abstractNum w:abstractNumId="2">
    <w:nsid w:val="58266A7E"/>
    <w:multiLevelType w:val="hybridMultilevel"/>
    <w:tmpl w:val="899A488E"/>
    <w:lvl w:ilvl="0" w:tplc="141A0017">
      <w:start w:val="1"/>
      <w:numFmt w:val="lowerLetter"/>
      <w:lvlText w:val="%1)"/>
      <w:lvlJc w:val="left"/>
      <w:pPr>
        <w:tabs>
          <w:tab w:val="num" w:pos="1680"/>
        </w:tabs>
        <w:ind w:left="1680" w:hanging="360"/>
      </w:pPr>
    </w:lvl>
    <w:lvl w:ilvl="1" w:tplc="141A0019">
      <w:start w:val="1"/>
      <w:numFmt w:val="lowerLetter"/>
      <w:lvlText w:val="%2."/>
      <w:lvlJc w:val="left"/>
      <w:pPr>
        <w:tabs>
          <w:tab w:val="num" w:pos="2400"/>
        </w:tabs>
        <w:ind w:left="2400" w:hanging="360"/>
      </w:pPr>
    </w:lvl>
    <w:lvl w:ilvl="2" w:tplc="141A001B">
      <w:start w:val="1"/>
      <w:numFmt w:val="lowerRoman"/>
      <w:lvlText w:val="%3."/>
      <w:lvlJc w:val="right"/>
      <w:pPr>
        <w:tabs>
          <w:tab w:val="num" w:pos="3120"/>
        </w:tabs>
        <w:ind w:left="3120" w:hanging="180"/>
      </w:pPr>
    </w:lvl>
    <w:lvl w:ilvl="3" w:tplc="141A000F">
      <w:start w:val="1"/>
      <w:numFmt w:val="decimal"/>
      <w:lvlText w:val="%4."/>
      <w:lvlJc w:val="left"/>
      <w:pPr>
        <w:tabs>
          <w:tab w:val="num" w:pos="3840"/>
        </w:tabs>
        <w:ind w:left="3840" w:hanging="360"/>
      </w:pPr>
    </w:lvl>
    <w:lvl w:ilvl="4" w:tplc="141A0019">
      <w:start w:val="1"/>
      <w:numFmt w:val="lowerLetter"/>
      <w:lvlText w:val="%5."/>
      <w:lvlJc w:val="left"/>
      <w:pPr>
        <w:tabs>
          <w:tab w:val="num" w:pos="4560"/>
        </w:tabs>
        <w:ind w:left="4560" w:hanging="360"/>
      </w:pPr>
    </w:lvl>
    <w:lvl w:ilvl="5" w:tplc="141A001B">
      <w:start w:val="1"/>
      <w:numFmt w:val="lowerRoman"/>
      <w:lvlText w:val="%6."/>
      <w:lvlJc w:val="right"/>
      <w:pPr>
        <w:tabs>
          <w:tab w:val="num" w:pos="5280"/>
        </w:tabs>
        <w:ind w:left="5280" w:hanging="180"/>
      </w:pPr>
    </w:lvl>
    <w:lvl w:ilvl="6" w:tplc="141A000F">
      <w:start w:val="1"/>
      <w:numFmt w:val="decimal"/>
      <w:lvlText w:val="%7."/>
      <w:lvlJc w:val="left"/>
      <w:pPr>
        <w:tabs>
          <w:tab w:val="num" w:pos="6000"/>
        </w:tabs>
        <w:ind w:left="6000" w:hanging="360"/>
      </w:pPr>
    </w:lvl>
    <w:lvl w:ilvl="7" w:tplc="141A0019">
      <w:start w:val="1"/>
      <w:numFmt w:val="lowerLetter"/>
      <w:lvlText w:val="%8."/>
      <w:lvlJc w:val="left"/>
      <w:pPr>
        <w:tabs>
          <w:tab w:val="num" w:pos="6720"/>
        </w:tabs>
        <w:ind w:left="6720" w:hanging="360"/>
      </w:pPr>
    </w:lvl>
    <w:lvl w:ilvl="8" w:tplc="141A001B">
      <w:start w:val="1"/>
      <w:numFmt w:val="lowerRoman"/>
      <w:lvlText w:val="%9."/>
      <w:lvlJc w:val="right"/>
      <w:pPr>
        <w:tabs>
          <w:tab w:val="num" w:pos="7440"/>
        </w:tabs>
        <w:ind w:left="7440" w:hanging="180"/>
      </w:pPr>
    </w:lvl>
  </w:abstractNum>
  <w:abstractNum w:abstractNumId="3">
    <w:nsid w:val="65F12678"/>
    <w:multiLevelType w:val="hybridMultilevel"/>
    <w:tmpl w:val="C9427E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796E55F9"/>
    <w:multiLevelType w:val="hybridMultilevel"/>
    <w:tmpl w:val="CD3055E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48"/>
    <w:rsid w:val="001D5768"/>
    <w:rsid w:val="004B77BC"/>
    <w:rsid w:val="0053784C"/>
    <w:rsid w:val="00BD704F"/>
    <w:rsid w:val="00E112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BD704F"/>
    <w:pPr>
      <w:spacing w:after="0" w:line="240" w:lineRule="auto"/>
    </w:pPr>
    <w:rPr>
      <w:rFonts w:ascii="Times New Roman" w:eastAsia="Times New Roman" w:hAnsi="Times New Roman" w:cs="Times New Roman"/>
      <w:sz w:val="24"/>
      <w:szCs w:val="24"/>
      <w:lang w:val="bs-Latn-BA" w:eastAsia="bs-Latn-BA"/>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Tijeloteksta2">
    <w:name w:val="Body Text 2"/>
    <w:basedOn w:val="Normalno"/>
    <w:link w:val="Tijeloteksta2Znak"/>
    <w:semiHidden/>
    <w:unhideWhenUsed/>
    <w:rsid w:val="00BD704F"/>
    <w:pPr>
      <w:jc w:val="both"/>
    </w:pPr>
    <w:rPr>
      <w:rFonts w:ascii="Tahoma" w:hAnsi="Tahoma" w:cs="Tahoma"/>
      <w:lang w:val="hr-HR" w:eastAsia="hr-HR"/>
    </w:rPr>
  </w:style>
  <w:style w:type="character" w:customStyle="1" w:styleId="Tijeloteksta2Znak">
    <w:name w:val="Tijelo teksta 2 Znak"/>
    <w:basedOn w:val="Zadanifontparagrafa"/>
    <w:link w:val="Tijeloteksta2"/>
    <w:semiHidden/>
    <w:rsid w:val="00BD704F"/>
    <w:rPr>
      <w:rFonts w:ascii="Tahoma" w:eastAsia="Times New Roman" w:hAnsi="Tahoma" w:cs="Tahoma"/>
      <w:sz w:val="24"/>
      <w:szCs w:val="24"/>
      <w:lang w:eastAsia="hr-HR"/>
    </w:rPr>
  </w:style>
  <w:style w:type="paragraph" w:styleId="Paragrafspiska">
    <w:name w:val="List Paragraph"/>
    <w:basedOn w:val="Normalno"/>
    <w:uiPriority w:val="34"/>
    <w:qFormat/>
    <w:rsid w:val="00BD70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BD704F"/>
    <w:pPr>
      <w:spacing w:after="0" w:line="240" w:lineRule="auto"/>
    </w:pPr>
    <w:rPr>
      <w:rFonts w:ascii="Times New Roman" w:eastAsia="Times New Roman" w:hAnsi="Times New Roman" w:cs="Times New Roman"/>
      <w:sz w:val="24"/>
      <w:szCs w:val="24"/>
      <w:lang w:val="bs-Latn-BA" w:eastAsia="bs-Latn-BA"/>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Tijeloteksta2">
    <w:name w:val="Body Text 2"/>
    <w:basedOn w:val="Normalno"/>
    <w:link w:val="Tijeloteksta2Znak"/>
    <w:semiHidden/>
    <w:unhideWhenUsed/>
    <w:rsid w:val="00BD704F"/>
    <w:pPr>
      <w:jc w:val="both"/>
    </w:pPr>
    <w:rPr>
      <w:rFonts w:ascii="Tahoma" w:hAnsi="Tahoma" w:cs="Tahoma"/>
      <w:lang w:val="hr-HR" w:eastAsia="hr-HR"/>
    </w:rPr>
  </w:style>
  <w:style w:type="character" w:customStyle="1" w:styleId="Tijeloteksta2Znak">
    <w:name w:val="Tijelo teksta 2 Znak"/>
    <w:basedOn w:val="Zadanifontparagrafa"/>
    <w:link w:val="Tijeloteksta2"/>
    <w:semiHidden/>
    <w:rsid w:val="00BD704F"/>
    <w:rPr>
      <w:rFonts w:ascii="Tahoma" w:eastAsia="Times New Roman" w:hAnsi="Tahoma" w:cs="Tahoma"/>
      <w:sz w:val="24"/>
      <w:szCs w:val="24"/>
      <w:lang w:eastAsia="hr-HR"/>
    </w:rPr>
  </w:style>
  <w:style w:type="paragraph" w:styleId="Paragrafspiska">
    <w:name w:val="List Paragraph"/>
    <w:basedOn w:val="Normalno"/>
    <w:uiPriority w:val="34"/>
    <w:qFormat/>
    <w:rsid w:val="00BD7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1103</Words>
  <Characters>6290</Characters>
  <Application>Microsoft Office Word</Application>
  <DocSecurity>0</DocSecurity>
  <Lines>52</Lines>
  <Paragraphs>14</Paragraphs>
  <ScaleCrop>false</ScaleCrop>
  <Company>Microsoft</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Nura</cp:lastModifiedBy>
  <cp:revision>5</cp:revision>
  <dcterms:created xsi:type="dcterms:W3CDTF">2020-04-20T06:02:00Z</dcterms:created>
  <dcterms:modified xsi:type="dcterms:W3CDTF">2020-04-21T09:06:00Z</dcterms:modified>
</cp:coreProperties>
</file>